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0F" w:rsidRDefault="00655A0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655A0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0F" w:rsidRDefault="00655A0F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5A0F" w:rsidRDefault="00655A0F">
            <w:pPr>
              <w:pStyle w:val="capu1"/>
            </w:pPr>
            <w:r>
              <w:t>УТВЕРЖДЕНО</w:t>
            </w:r>
          </w:p>
          <w:p w:rsidR="00655A0F" w:rsidRDefault="00655A0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655A0F" w:rsidRDefault="00655A0F">
            <w:pPr>
              <w:pStyle w:val="cap1"/>
            </w:pPr>
            <w:r>
              <w:t>05.08.2011 № 216</w:t>
            </w:r>
          </w:p>
        </w:tc>
      </w:tr>
    </w:tbl>
    <w:p w:rsidR="00655A0F" w:rsidRDefault="00655A0F">
      <w:pPr>
        <w:pStyle w:val="titleu"/>
      </w:pPr>
      <w:r>
        <w:t>ИНСТРУКЦИЯ</w:t>
      </w:r>
      <w:r>
        <w:br/>
        <w:t>о порядке перевода, отчисления и восстановления учащихся, получающих профессионально-техническое образование</w:t>
      </w:r>
    </w:p>
    <w:p w:rsidR="00655A0F" w:rsidRDefault="00655A0F">
      <w:pPr>
        <w:pStyle w:val="chapter"/>
      </w:pPr>
      <w:r>
        <w:t>ГЛАВА 1</w:t>
      </w:r>
      <w:r>
        <w:br/>
        <w:t>ОБЩИЕ ПОЛОЖЕНИЯ</w:t>
      </w:r>
    </w:p>
    <w:p w:rsidR="00655A0F" w:rsidRDefault="00655A0F">
      <w:pPr>
        <w:pStyle w:val="point"/>
      </w:pPr>
      <w:r>
        <w:t>1. </w:t>
      </w:r>
      <w:proofErr w:type="gramStart"/>
      <w:r>
        <w:t>Настоящая Инструкция разработана на основании статей 21, 31, 79 и 80 Кодекса Республики Беларусь об образовании,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(Национальный реестр правовых актов Республики Беларусь, 2011 г., № 84</w:t>
      </w:r>
      <w:proofErr w:type="gramEnd"/>
      <w:r>
        <w:t xml:space="preserve">, </w:t>
      </w:r>
      <w:proofErr w:type="gramStart"/>
      <w:r>
        <w:t>5/34178) и регулирует порядок, основания и условия перевода, отчисления и восстановления учащихся, получающих профессионально-техническое образование (далее – учащиеся).</w:t>
      </w:r>
      <w:proofErr w:type="gramEnd"/>
    </w:p>
    <w:p w:rsidR="00655A0F" w:rsidRDefault="00655A0F">
      <w:pPr>
        <w:pStyle w:val="point"/>
      </w:pPr>
      <w:r>
        <w:t>2. Перевод и восстановление учащихся в учреждениях образования осуществляется при наличии вакантных мест. </w:t>
      </w:r>
    </w:p>
    <w:p w:rsidR="00655A0F" w:rsidRDefault="00655A0F">
      <w:pPr>
        <w:pStyle w:val="newncpi"/>
      </w:pPr>
      <w:r>
        <w:t xml:space="preserve">Вакантное место – это свободное место для получения профессионально-технического образования за счет средств республиканского и (или) местных бюджетов в пределах контрольных цифр приема, на платной основе – сверх контрольных цифр </w:t>
      </w:r>
      <w:proofErr w:type="gramStart"/>
      <w:r>
        <w:t>приема</w:t>
      </w:r>
      <w:proofErr w:type="gramEnd"/>
      <w:r>
        <w:t xml:space="preserve"> в рамках предельной численности обучающихся, предусмотренной специальным разрешением (лицензией) на образовательную деятельность.</w:t>
      </w:r>
    </w:p>
    <w:p w:rsidR="00655A0F" w:rsidRDefault="00655A0F">
      <w:pPr>
        <w:pStyle w:val="point"/>
      </w:pPr>
      <w:r>
        <w:t>3. Заявление учащегося с просьбой о переводе, отчислении или восстановлении подается руководителю учреждения образования и рассматривается им в десятидневный срок с последующим письменным уведомлением заявителя о принятом решении.</w:t>
      </w:r>
    </w:p>
    <w:p w:rsidR="00655A0F" w:rsidRDefault="00655A0F">
      <w:pPr>
        <w:pStyle w:val="point"/>
      </w:pPr>
      <w:r>
        <w:t>4. Основанием для перевода, отчисления или восстановления учащегося является решение руководителя учреждения образования, которое оформляется приказом по учреждению образования.</w:t>
      </w:r>
    </w:p>
    <w:p w:rsidR="00655A0F" w:rsidRDefault="00655A0F">
      <w:pPr>
        <w:pStyle w:val="point"/>
      </w:pPr>
      <w:r>
        <w:t>5. Перевод, отчисление или восстановление несовершеннолетнего учащегося осуществляется с письменного согласия одного из его законных представителей.</w:t>
      </w:r>
    </w:p>
    <w:p w:rsidR="00655A0F" w:rsidRDefault="00655A0F">
      <w:pPr>
        <w:pStyle w:val="point"/>
      </w:pPr>
      <w:r>
        <w:t>6. При переводе или восстановлении учащегося учреждение образования, в которое осуществлен перевод или восстановление, приказом устанавливает срок ликвидации академической задолженности, обусловленной расхождениями в учебных планах и программах учреждений образования.</w:t>
      </w:r>
    </w:p>
    <w:p w:rsidR="00655A0F" w:rsidRDefault="00655A0F">
      <w:pPr>
        <w:pStyle w:val="point"/>
      </w:pPr>
      <w:r>
        <w:t>7. В случае прекращения деятельности учреждения образования, аннулирования, прекращения действия специального разрешения (лицензии) на образовательную деятельность учреждения образования его учредитель обеспечивает перевод учащихся с их согласия, согласия законных представителей несовершеннолетних учащихся в другие учреждения образования для освоения содержания образовательных программ профессионально-технического образования.</w:t>
      </w:r>
    </w:p>
    <w:p w:rsidR="00655A0F" w:rsidRDefault="00655A0F">
      <w:pPr>
        <w:pStyle w:val="point"/>
      </w:pPr>
      <w:r>
        <w:t>8. Движение контингента учащихся в установленном порядке отражается в государственной статистической отчетности и поименной книге.</w:t>
      </w:r>
    </w:p>
    <w:p w:rsidR="00655A0F" w:rsidRDefault="00655A0F">
      <w:pPr>
        <w:pStyle w:val="chapter"/>
      </w:pPr>
      <w:r>
        <w:t>ГЛАВА 2</w:t>
      </w:r>
      <w:r>
        <w:br/>
        <w:t>ПЕРЕВОД УЧАЩИХСЯ</w:t>
      </w:r>
    </w:p>
    <w:p w:rsidR="00655A0F" w:rsidRDefault="00655A0F">
      <w:pPr>
        <w:pStyle w:val="point"/>
      </w:pPr>
      <w:r>
        <w:t>9. Основаниями для перевода учащихся являются:</w:t>
      </w:r>
    </w:p>
    <w:p w:rsidR="00655A0F" w:rsidRDefault="00655A0F">
      <w:pPr>
        <w:pStyle w:val="underpoint"/>
      </w:pPr>
      <w:r>
        <w:t>9.1. собственное желание;</w:t>
      </w:r>
    </w:p>
    <w:p w:rsidR="00655A0F" w:rsidRDefault="00655A0F">
      <w:pPr>
        <w:pStyle w:val="underpoint"/>
      </w:pPr>
      <w:r>
        <w:t>9.2. наличие медицинских противопоказаний, препятствующих продолжению обучения и работе по избранной специальности;</w:t>
      </w:r>
    </w:p>
    <w:p w:rsidR="00655A0F" w:rsidRDefault="00655A0F">
      <w:pPr>
        <w:pStyle w:val="underpoint"/>
      </w:pPr>
      <w:r>
        <w:lastRenderedPageBreak/>
        <w:t>9.3. прекращение деятельности учреждения образования, аннулирование, прекращение действия специального разрешения (лицензии) на образовательную деятельность учреждения образования.</w:t>
      </w:r>
    </w:p>
    <w:p w:rsidR="00655A0F" w:rsidRDefault="00655A0F">
      <w:pPr>
        <w:pStyle w:val="point"/>
      </w:pPr>
      <w:r>
        <w:t>10. Перевод осуществляется для получения образования:</w:t>
      </w:r>
    </w:p>
    <w:p w:rsidR="00655A0F" w:rsidRDefault="00655A0F">
      <w:pPr>
        <w:pStyle w:val="underpoint"/>
      </w:pPr>
      <w:r>
        <w:t>10.1. в другой форме получения образования;</w:t>
      </w:r>
    </w:p>
    <w:p w:rsidR="00655A0F" w:rsidRDefault="00655A0F">
      <w:pPr>
        <w:pStyle w:val="underpoint"/>
      </w:pPr>
      <w:r>
        <w:t>10.2. по другой специальности;</w:t>
      </w:r>
    </w:p>
    <w:p w:rsidR="00655A0F" w:rsidRDefault="00655A0F">
      <w:pPr>
        <w:pStyle w:val="underpoint"/>
      </w:pPr>
      <w:r>
        <w:t>10.3. </w:t>
      </w:r>
      <w:proofErr w:type="gramStart"/>
      <w:r>
        <w:t>обучающимися</w:t>
      </w:r>
      <w:proofErr w:type="gramEnd"/>
      <w:r>
        <w:t>, получающими среднее специальное и высшее образование, для получения профессионально-технического образования по соответствующим специальностям;</w:t>
      </w:r>
    </w:p>
    <w:p w:rsidR="00655A0F" w:rsidRDefault="00655A0F">
      <w:pPr>
        <w:pStyle w:val="underpoint"/>
      </w:pPr>
      <w:r>
        <w:t>10.4. в другом учреждении образования.</w:t>
      </w:r>
    </w:p>
    <w:p w:rsidR="00655A0F" w:rsidRDefault="00655A0F">
      <w:pPr>
        <w:pStyle w:val="point"/>
      </w:pPr>
      <w:r>
        <w:t>11. В случае если заключен договор о целевой подготовке специалиста (рабочего, служащего), перевод учащегося в другое учреждение образования, на другую специальность осуществляется по согласованию с организацией, имеющей потребность в подготовке рабочего (служащего), с которой заключен договор.</w:t>
      </w:r>
    </w:p>
    <w:p w:rsidR="00655A0F" w:rsidRDefault="00655A0F">
      <w:pPr>
        <w:pStyle w:val="point"/>
      </w:pPr>
      <w:r>
        <w:t>12. </w:t>
      </w:r>
      <w:proofErr w:type="gramStart"/>
      <w:r>
        <w:t>При переводе для получения образования в другой форме получения образования, по другой специальности в договор о подготовке рабочего (служащего) с профессионально-техническим образованием за счет средств республиканского (местного) бюджета (договор о подготовке рабочего (служащего) с профессионально-техническим образованием на платной основе), на основании которого учащийся получает образование, вносятся соответствующие изменения либо он расторгается при переводе в другое учреждение образования.</w:t>
      </w:r>
      <w:proofErr w:type="gramEnd"/>
    </w:p>
    <w:p w:rsidR="00655A0F" w:rsidRDefault="00655A0F">
      <w:pPr>
        <w:pStyle w:val="point"/>
      </w:pPr>
      <w:r>
        <w:t>13. В случае перевода в другое учреждение образования к заявлению о переводе прилагается согласие в письменном виде руководителя учреждения образования, в которое осуществляется перевод.</w:t>
      </w:r>
    </w:p>
    <w:p w:rsidR="00655A0F" w:rsidRDefault="00655A0F">
      <w:pPr>
        <w:pStyle w:val="point"/>
      </w:pPr>
      <w:r>
        <w:t>14. При положительном решении вопроса о переводе по запросу учреждения образования, принявшего в порядке перевода учащегося, пересылаются его документы, с учащимся заключается договор о подготовке рабочего (служащего) с профессионально-техническим образованием за счет средств республиканского (местного) бюджета или договор о подготовке рабочего (служащего) с профессионально-техническим образованием на платной основе.</w:t>
      </w:r>
    </w:p>
    <w:p w:rsidR="00655A0F" w:rsidRDefault="00655A0F">
      <w:pPr>
        <w:pStyle w:val="chapter"/>
      </w:pPr>
      <w:r>
        <w:t>ГЛАВА 3</w:t>
      </w:r>
      <w:r>
        <w:br/>
        <w:t>ОТЧИСЛЕНИЕ</w:t>
      </w:r>
      <w:r>
        <w:rPr>
          <w:i/>
          <w:iCs/>
        </w:rPr>
        <w:t xml:space="preserve"> </w:t>
      </w:r>
      <w:r>
        <w:t>И ВОССТАНОВЛЕНИЕ УЧАЩИХСЯ</w:t>
      </w:r>
    </w:p>
    <w:p w:rsidR="00655A0F" w:rsidRDefault="00655A0F">
      <w:pPr>
        <w:pStyle w:val="point"/>
      </w:pPr>
      <w:r>
        <w:t>15. Учащиеся могут быть отчислены из учреждения образования в случаях, предусмотренных статьей 79 Кодекса Республики Беларусь об образовании.</w:t>
      </w:r>
    </w:p>
    <w:p w:rsidR="00655A0F" w:rsidRDefault="00655A0F">
      <w:pPr>
        <w:pStyle w:val="point"/>
      </w:pPr>
      <w:r>
        <w:t>16. Учреждение образования ежемесячно до 10-го числа следующего месяца уведомляет учредителя о количестве отчисленных учащихся с указанием причин отчисления.</w:t>
      </w:r>
    </w:p>
    <w:p w:rsidR="00655A0F" w:rsidRDefault="00655A0F">
      <w:pPr>
        <w:pStyle w:val="point"/>
      </w:pPr>
      <w:r>
        <w:t>17. В случае отчисления несовершеннолетнего учащегося решение об отчислении принимается в присутствии одного из законных представителей учащегося только после уведомления соответствующей комиссии по делам несовершеннолетних местного исполнительного и распорядительного органа по месту жительства учащегося (указанного в личном деле).</w:t>
      </w:r>
    </w:p>
    <w:p w:rsidR="00655A0F" w:rsidRDefault="00655A0F">
      <w:pPr>
        <w:pStyle w:val="point"/>
      </w:pPr>
      <w:r>
        <w:t>18. Решение об отчислении учащегося, заключившего договор о целевой подготовке специалиста (рабочего, служащего), до направления на согласование с учредителем учреждения образования должно быть согласовано с организацией, имеющей потребность в подготовке рабочего, служащего, с которой заключен договор.</w:t>
      </w:r>
    </w:p>
    <w:p w:rsidR="00655A0F" w:rsidRDefault="00655A0F">
      <w:pPr>
        <w:pStyle w:val="point"/>
      </w:pPr>
      <w:r>
        <w:t>19. При отчислении из учреждения образования учащемуся выдается документ об образовании, представленный при приеме, документ о получении профессионально-технического образования или справка об обучении.</w:t>
      </w:r>
    </w:p>
    <w:p w:rsidR="00655A0F" w:rsidRDefault="00655A0F">
      <w:pPr>
        <w:pStyle w:val="newncpi"/>
      </w:pPr>
      <w:r>
        <w:t>В случае досрочного прекращения образовательных отношений учащемуся, которому присвоена квалификация рабочего (служащего) по результатам этапа образовательного процесса, также выдается свидетельство о присвоении квалификационного разряда (класса, категории) по профессии.</w:t>
      </w:r>
    </w:p>
    <w:p w:rsidR="00655A0F" w:rsidRDefault="00655A0F">
      <w:pPr>
        <w:pStyle w:val="point"/>
      </w:pPr>
      <w:r>
        <w:lastRenderedPageBreak/>
        <w:t>20. В учреждении образования, из которого отчислен учащийся, остаются копии документа об образовании, представленного при приеме, справки об обучении, заявление об отчислении учащегося (при наличии), приказ об отчислении.</w:t>
      </w:r>
    </w:p>
    <w:p w:rsidR="00655A0F" w:rsidRDefault="00655A0F">
      <w:pPr>
        <w:pStyle w:val="point"/>
      </w:pPr>
      <w:r>
        <w:t>21. На восстановление в учреждение образования для получения профессионально-технического образования имеют право лица, отчисленные из учреждений образования в период получения профессионально-технического, среднего специального и высшего образования, за исключением лиц, не прошедших текущую аттестацию за первое полугодие при получении профессионально-технического образования.</w:t>
      </w:r>
    </w:p>
    <w:p w:rsidR="00655A0F" w:rsidRDefault="00655A0F">
      <w:pPr>
        <w:pStyle w:val="point"/>
      </w:pPr>
      <w:r>
        <w:t>22. При восстановлении для получения профессионально-технического образования к заявлению прилагаются следующие документы:</w:t>
      </w:r>
    </w:p>
    <w:p w:rsidR="00655A0F" w:rsidRDefault="00655A0F">
      <w:pPr>
        <w:pStyle w:val="newncpi"/>
      </w:pPr>
      <w:r>
        <w:t>оригинал документа об образовании и приложение к нему;</w:t>
      </w:r>
    </w:p>
    <w:p w:rsidR="00655A0F" w:rsidRDefault="00655A0F">
      <w:pPr>
        <w:pStyle w:val="newncpi"/>
      </w:pPr>
      <w:r>
        <w:t>медицинская справка о состоянии здоровья по форме, установленной Министерством здравоохранения Республики Беларусь;</w:t>
      </w:r>
    </w:p>
    <w:p w:rsidR="00655A0F" w:rsidRDefault="00655A0F">
      <w:pPr>
        <w:pStyle w:val="newncpi"/>
      </w:pPr>
      <w:r>
        <w:t>6 фотографий размером 3 x 4 см;</w:t>
      </w:r>
    </w:p>
    <w:p w:rsidR="00655A0F" w:rsidRDefault="00655A0F">
      <w:pPr>
        <w:pStyle w:val="newncpi"/>
      </w:pPr>
      <w:r>
        <w:t xml:space="preserve">заключение врачебно-консультационной или медико-реабилитационной экспертной комиссии об отсутствии противопоказаний для </w:t>
      </w:r>
      <w:proofErr w:type="gramStart"/>
      <w:r>
        <w:t>обучения по</w:t>
      </w:r>
      <w:proofErr w:type="gramEnd"/>
      <w:r>
        <w:t xml:space="preserve"> выбранной специальности (для лиц с особенностями психофизического развития, детей-инвалидов, инвалидов I–III группы);</w:t>
      </w:r>
    </w:p>
    <w:p w:rsidR="00655A0F" w:rsidRDefault="00655A0F">
      <w:pPr>
        <w:pStyle w:val="newncpi"/>
      </w:pPr>
      <w:r>
        <w:t>справка об обучении.</w:t>
      </w:r>
    </w:p>
    <w:p w:rsidR="00655A0F" w:rsidRDefault="00655A0F">
      <w:pPr>
        <w:pStyle w:val="newncpi"/>
      </w:pPr>
      <w:r>
        <w:t>Документ, удостоверяющий личность (для несовершеннолетних, не имеющих такого документа, – свидетельство о рождении), удостоверение призывника или военный билет представляется лично.</w:t>
      </w:r>
    </w:p>
    <w:p w:rsidR="00655A0F" w:rsidRDefault="00655A0F">
      <w:pPr>
        <w:pStyle w:val="newncpi"/>
      </w:pPr>
      <w:r>
        <w:t> </w:t>
      </w:r>
      <w:bookmarkStart w:id="0" w:name="_GoBack"/>
      <w:bookmarkEnd w:id="0"/>
    </w:p>
    <w:sectPr w:rsidR="00655A0F" w:rsidSect="00655A0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58" w:rsidRDefault="001D3058" w:rsidP="00655A0F">
      <w:pPr>
        <w:spacing w:after="0" w:line="240" w:lineRule="auto"/>
      </w:pPr>
      <w:r>
        <w:separator/>
      </w:r>
    </w:p>
  </w:endnote>
  <w:endnote w:type="continuationSeparator" w:id="0">
    <w:p w:rsidR="001D3058" w:rsidRDefault="001D3058" w:rsidP="0065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58" w:rsidRDefault="001D3058" w:rsidP="00655A0F">
      <w:pPr>
        <w:spacing w:after="0" w:line="240" w:lineRule="auto"/>
      </w:pPr>
      <w:r>
        <w:separator/>
      </w:r>
    </w:p>
  </w:footnote>
  <w:footnote w:type="continuationSeparator" w:id="0">
    <w:p w:rsidR="001D3058" w:rsidRDefault="001D3058" w:rsidP="0065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F"/>
    <w:rsid w:val="001D3058"/>
    <w:rsid w:val="006045D2"/>
    <w:rsid w:val="00655A0F"/>
    <w:rsid w:val="00B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A0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55A0F"/>
    <w:rPr>
      <w:color w:val="154C94"/>
      <w:u w:val="single"/>
    </w:rPr>
  </w:style>
  <w:style w:type="paragraph" w:customStyle="1" w:styleId="part">
    <w:name w:val="part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55A0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655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655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55A0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655A0F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55A0F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55A0F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55A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655A0F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655A0F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55A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55A0F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inodobren">
    <w:name w:val="prinodobren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655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55A0F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655A0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55A0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55A0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55A0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655A0F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55A0F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55A0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55A0F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55A0F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55A0F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55A0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55A0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55A0F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55A0F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55A0F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55A0F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55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55A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55A0F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55A0F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5A0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55A0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55A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5A0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55A0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55A0F"/>
    <w:rPr>
      <w:rFonts w:ascii="Symbol" w:hAnsi="Symbol" w:hint="default"/>
    </w:rPr>
  </w:style>
  <w:style w:type="character" w:customStyle="1" w:styleId="onewind3">
    <w:name w:val="onewind3"/>
    <w:basedOn w:val="a0"/>
    <w:rsid w:val="00655A0F"/>
    <w:rPr>
      <w:rFonts w:ascii="Wingdings 3" w:hAnsi="Wingdings 3" w:hint="default"/>
    </w:rPr>
  </w:style>
  <w:style w:type="character" w:customStyle="1" w:styleId="onewind2">
    <w:name w:val="onewind2"/>
    <w:basedOn w:val="a0"/>
    <w:rsid w:val="00655A0F"/>
    <w:rPr>
      <w:rFonts w:ascii="Wingdings 2" w:hAnsi="Wingdings 2" w:hint="default"/>
    </w:rPr>
  </w:style>
  <w:style w:type="character" w:customStyle="1" w:styleId="onewind">
    <w:name w:val="onewind"/>
    <w:basedOn w:val="a0"/>
    <w:rsid w:val="00655A0F"/>
    <w:rPr>
      <w:rFonts w:ascii="Wingdings" w:hAnsi="Wingdings" w:hint="default"/>
    </w:rPr>
  </w:style>
  <w:style w:type="character" w:customStyle="1" w:styleId="rednoun">
    <w:name w:val="rednoun"/>
    <w:basedOn w:val="a0"/>
    <w:rsid w:val="00655A0F"/>
  </w:style>
  <w:style w:type="character" w:customStyle="1" w:styleId="post">
    <w:name w:val="post"/>
    <w:basedOn w:val="a0"/>
    <w:rsid w:val="00655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5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55A0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55A0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55A0F"/>
    <w:rPr>
      <w:rFonts w:ascii="Arial" w:hAnsi="Arial" w:cs="Arial" w:hint="default"/>
    </w:rPr>
  </w:style>
  <w:style w:type="table" w:customStyle="1" w:styleId="tablencpi">
    <w:name w:val="tablencpi"/>
    <w:basedOn w:val="a1"/>
    <w:rsid w:val="0065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A0F"/>
  </w:style>
  <w:style w:type="paragraph" w:styleId="a7">
    <w:name w:val="footer"/>
    <w:basedOn w:val="a"/>
    <w:link w:val="a8"/>
    <w:uiPriority w:val="99"/>
    <w:semiHidden/>
    <w:unhideWhenUsed/>
    <w:rsid w:val="006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0F"/>
  </w:style>
  <w:style w:type="character" w:styleId="a9">
    <w:name w:val="page number"/>
    <w:basedOn w:val="a0"/>
    <w:uiPriority w:val="99"/>
    <w:semiHidden/>
    <w:unhideWhenUsed/>
    <w:rsid w:val="00655A0F"/>
  </w:style>
  <w:style w:type="table" w:styleId="aa">
    <w:name w:val="Table Grid"/>
    <w:basedOn w:val="a1"/>
    <w:uiPriority w:val="59"/>
    <w:rsid w:val="00655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A0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55A0F"/>
    <w:rPr>
      <w:color w:val="154C94"/>
      <w:u w:val="single"/>
    </w:rPr>
  </w:style>
  <w:style w:type="paragraph" w:customStyle="1" w:styleId="part">
    <w:name w:val="part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655A0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655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655A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655A0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razdel">
    <w:name w:val="razdel"/>
    <w:basedOn w:val="a"/>
    <w:rsid w:val="00655A0F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55A0F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655A0F"/>
    <w:pPr>
      <w:spacing w:before="24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655A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dobren1">
    <w:name w:val="odobren1"/>
    <w:basedOn w:val="a"/>
    <w:rsid w:val="00655A0F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655A0F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55A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655A0F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prinodobren">
    <w:name w:val="prinodobren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655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655A0F"/>
    <w:pPr>
      <w:spacing w:after="0" w:line="240" w:lineRule="auto"/>
      <w:ind w:firstLine="1021"/>
      <w:jc w:val="both"/>
    </w:pPr>
    <w:rPr>
      <w:rFonts w:ascii="Times New Roman" w:hAnsi="Times New Roman" w:cs="Times New Roman"/>
    </w:rPr>
  </w:style>
  <w:style w:type="paragraph" w:customStyle="1" w:styleId="agreedate">
    <w:name w:val="agreedat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hangeadd">
    <w:name w:val="changeadd"/>
    <w:basedOn w:val="a"/>
    <w:rsid w:val="00655A0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55A0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55A0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655A0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655A0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655A0F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655A0F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655A0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655A0F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55A0F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655A0F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655A0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655A0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655A0F"/>
    <w:pPr>
      <w:spacing w:before="240" w:after="24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655A0F"/>
    <w:pPr>
      <w:spacing w:before="240" w:after="24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655A0F"/>
    <w:pPr>
      <w:spacing w:after="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655A0F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655A0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655A0F"/>
    <w:pPr>
      <w:spacing w:before="240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655A0F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655A0F"/>
    <w:pPr>
      <w:spacing w:after="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655A0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655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655A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655A0F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655A0F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655A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5A0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55A0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55A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5A0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55A0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55A0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55A0F"/>
    <w:rPr>
      <w:rFonts w:ascii="Symbol" w:hAnsi="Symbol" w:hint="default"/>
    </w:rPr>
  </w:style>
  <w:style w:type="character" w:customStyle="1" w:styleId="onewind3">
    <w:name w:val="onewind3"/>
    <w:basedOn w:val="a0"/>
    <w:rsid w:val="00655A0F"/>
    <w:rPr>
      <w:rFonts w:ascii="Wingdings 3" w:hAnsi="Wingdings 3" w:hint="default"/>
    </w:rPr>
  </w:style>
  <w:style w:type="character" w:customStyle="1" w:styleId="onewind2">
    <w:name w:val="onewind2"/>
    <w:basedOn w:val="a0"/>
    <w:rsid w:val="00655A0F"/>
    <w:rPr>
      <w:rFonts w:ascii="Wingdings 2" w:hAnsi="Wingdings 2" w:hint="default"/>
    </w:rPr>
  </w:style>
  <w:style w:type="character" w:customStyle="1" w:styleId="onewind">
    <w:name w:val="onewind"/>
    <w:basedOn w:val="a0"/>
    <w:rsid w:val="00655A0F"/>
    <w:rPr>
      <w:rFonts w:ascii="Wingdings" w:hAnsi="Wingdings" w:hint="default"/>
    </w:rPr>
  </w:style>
  <w:style w:type="character" w:customStyle="1" w:styleId="rednoun">
    <w:name w:val="rednoun"/>
    <w:basedOn w:val="a0"/>
    <w:rsid w:val="00655A0F"/>
  </w:style>
  <w:style w:type="character" w:customStyle="1" w:styleId="post">
    <w:name w:val="post"/>
    <w:basedOn w:val="a0"/>
    <w:rsid w:val="00655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5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55A0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55A0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55A0F"/>
    <w:rPr>
      <w:rFonts w:ascii="Arial" w:hAnsi="Arial" w:cs="Arial" w:hint="default"/>
    </w:rPr>
  </w:style>
  <w:style w:type="table" w:customStyle="1" w:styleId="tablencpi">
    <w:name w:val="tablencpi"/>
    <w:basedOn w:val="a1"/>
    <w:rsid w:val="0065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A0F"/>
  </w:style>
  <w:style w:type="paragraph" w:styleId="a7">
    <w:name w:val="footer"/>
    <w:basedOn w:val="a"/>
    <w:link w:val="a8"/>
    <w:uiPriority w:val="99"/>
    <w:semiHidden/>
    <w:unhideWhenUsed/>
    <w:rsid w:val="0065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0F"/>
  </w:style>
  <w:style w:type="character" w:styleId="a9">
    <w:name w:val="page number"/>
    <w:basedOn w:val="a0"/>
    <w:uiPriority w:val="99"/>
    <w:semiHidden/>
    <w:unhideWhenUsed/>
    <w:rsid w:val="00655A0F"/>
  </w:style>
  <w:style w:type="table" w:styleId="aa">
    <w:name w:val="Table Grid"/>
    <w:basedOn w:val="a1"/>
    <w:uiPriority w:val="59"/>
    <w:rsid w:val="00655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6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2018-10-23T09:05:00Z</dcterms:created>
  <dcterms:modified xsi:type="dcterms:W3CDTF">2018-10-23T09:05:00Z</dcterms:modified>
</cp:coreProperties>
</file>